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E" w:rsidRDefault="00BE331E" w:rsidP="00BE331E">
      <w:pPr>
        <w:jc w:val="center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BE331E">
        <w:rPr>
          <w:rFonts w:asciiTheme="majorHAnsi" w:hAnsiTheme="majorHAnsi"/>
          <w:sz w:val="28"/>
          <w:szCs w:val="28"/>
          <w:lang w:val="uk-UA"/>
        </w:rPr>
        <w:t>Новаківська</w:t>
      </w:r>
      <w:proofErr w:type="spellEnd"/>
      <w:r w:rsidRPr="00BE331E">
        <w:rPr>
          <w:rFonts w:asciiTheme="majorHAnsi" w:hAnsiTheme="majorHAnsi"/>
          <w:sz w:val="28"/>
          <w:szCs w:val="28"/>
          <w:lang w:val="uk-UA"/>
        </w:rPr>
        <w:t xml:space="preserve"> загальноосвітня школа І-ІІІ ступенів</w:t>
      </w:r>
    </w:p>
    <w:p w:rsidR="00BE331E" w:rsidRDefault="00BE331E" w:rsidP="00BE331E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BE331E" w:rsidRDefault="00BE331E" w:rsidP="00BE331E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BE331E" w:rsidRDefault="00BE331E" w:rsidP="00BE331E">
      <w:pPr>
        <w:jc w:val="center"/>
        <w:rPr>
          <w:b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3.5pt;height:118.5pt" fillcolor="#7030a0" stroked="f">
            <v:fill color2="#099"/>
            <v:shadow on="t" color="silver" opacity="52429f" offset="3pt,3pt"/>
            <v:textpath style="font-family:&quot;Times New Roman&quot;;v-text-kern:t" trim="t" fitpath="t" xscale="f" string="Тренінг&#10;«Як дбати про своє здоров’я»&#10;"/>
          </v:shape>
        </w:pict>
      </w:r>
    </w:p>
    <w:p w:rsidR="00BE331E" w:rsidRDefault="00BE331E">
      <w:pPr>
        <w:rPr>
          <w:b/>
          <w:sz w:val="28"/>
          <w:szCs w:val="28"/>
          <w:lang w:val="uk-UA"/>
        </w:rPr>
      </w:pPr>
    </w:p>
    <w:p w:rsidR="00BE331E" w:rsidRDefault="00BE331E" w:rsidP="00BE331E">
      <w:pPr>
        <w:jc w:val="center"/>
        <w:rPr>
          <w:b/>
          <w:sz w:val="28"/>
          <w:szCs w:val="28"/>
          <w:lang w:val="uk-UA"/>
        </w:rPr>
      </w:pPr>
      <w:r w:rsidRPr="00BE331E">
        <w:rPr>
          <w:b/>
          <w:sz w:val="28"/>
          <w:szCs w:val="28"/>
          <w:lang w:val="uk-UA"/>
        </w:rPr>
        <w:drawing>
          <wp:inline distT="0" distB="0" distL="0" distR="0">
            <wp:extent cx="1876425" cy="2486025"/>
            <wp:effectExtent l="19050" t="0" r="9525" b="0"/>
            <wp:docPr id="4" name="Рисунок 1" descr="F:\DCIM\100OLYMP\P1010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F:\DCIM\100OLYMP\P101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172" r="3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331E" w:rsidRPr="00BE331E" w:rsidRDefault="00BE331E" w:rsidP="00BE331E">
      <w:pPr>
        <w:spacing w:line="240" w:lineRule="auto"/>
        <w:rPr>
          <w:sz w:val="28"/>
          <w:szCs w:val="28"/>
          <w:lang w:val="uk-UA"/>
        </w:rPr>
      </w:pPr>
      <w:r w:rsidRPr="00BE331E">
        <w:rPr>
          <w:b/>
          <w:sz w:val="28"/>
          <w:szCs w:val="28"/>
          <w:lang w:val="uk-UA"/>
        </w:rPr>
        <w:drawing>
          <wp:inline distT="0" distB="0" distL="0" distR="0">
            <wp:extent cx="2838450" cy="2114550"/>
            <wp:effectExtent l="19050" t="0" r="0" b="0"/>
            <wp:docPr id="5" name="Рисунок 2" descr="F:\DCIM\100OLYMP\P1010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DCIM\100OLYMP\P1010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46" cy="2118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</w:t>
      </w:r>
      <w:r w:rsidRPr="00BE331E">
        <w:rPr>
          <w:sz w:val="28"/>
          <w:szCs w:val="28"/>
          <w:lang w:val="uk-UA"/>
        </w:rPr>
        <w:t>Підготувала</w:t>
      </w:r>
    </w:p>
    <w:p w:rsidR="00BE331E" w:rsidRPr="00BE331E" w:rsidRDefault="00BE331E" w:rsidP="00BE331E">
      <w:pPr>
        <w:spacing w:line="240" w:lineRule="auto"/>
        <w:rPr>
          <w:sz w:val="28"/>
          <w:szCs w:val="28"/>
          <w:lang w:val="uk-UA"/>
        </w:rPr>
      </w:pPr>
      <w:r w:rsidRPr="00BE331E">
        <w:rPr>
          <w:sz w:val="28"/>
          <w:szCs w:val="28"/>
          <w:lang w:val="uk-UA"/>
        </w:rPr>
        <w:t xml:space="preserve">                                                                                                             педагог-організатор</w:t>
      </w:r>
    </w:p>
    <w:p w:rsidR="00BE331E" w:rsidRPr="00BE331E" w:rsidRDefault="00BE331E" w:rsidP="00BE331E">
      <w:pPr>
        <w:spacing w:line="240" w:lineRule="auto"/>
        <w:rPr>
          <w:sz w:val="28"/>
          <w:szCs w:val="28"/>
          <w:lang w:val="uk-UA"/>
        </w:rPr>
      </w:pPr>
      <w:r w:rsidRPr="00BE331E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BE331E">
        <w:rPr>
          <w:sz w:val="28"/>
          <w:szCs w:val="28"/>
          <w:lang w:val="uk-UA"/>
        </w:rPr>
        <w:t>Кладько</w:t>
      </w:r>
      <w:proofErr w:type="spellEnd"/>
      <w:r w:rsidRPr="00BE331E">
        <w:rPr>
          <w:sz w:val="28"/>
          <w:szCs w:val="28"/>
          <w:lang w:val="uk-UA"/>
        </w:rPr>
        <w:t xml:space="preserve"> Л.М.</w:t>
      </w:r>
    </w:p>
    <w:p w:rsidR="00BE331E" w:rsidRDefault="00BE331E" w:rsidP="00BE331E">
      <w:pPr>
        <w:spacing w:line="240" w:lineRule="auto"/>
        <w:jc w:val="center"/>
        <w:rPr>
          <w:sz w:val="28"/>
          <w:szCs w:val="28"/>
          <w:lang w:val="uk-UA"/>
        </w:rPr>
      </w:pPr>
      <w:r w:rsidRPr="00BE331E">
        <w:rPr>
          <w:sz w:val="28"/>
          <w:szCs w:val="28"/>
          <w:lang w:val="uk-UA"/>
        </w:rPr>
        <w:t>-2015-</w:t>
      </w:r>
    </w:p>
    <w:p w:rsidR="008D1234" w:rsidRDefault="004414D8" w:rsidP="00BE331E">
      <w:pPr>
        <w:spacing w:line="240" w:lineRule="auto"/>
        <w:rPr>
          <w:sz w:val="28"/>
          <w:szCs w:val="28"/>
          <w:lang w:val="uk-UA"/>
        </w:rPr>
      </w:pPr>
      <w:r w:rsidRPr="004414D8">
        <w:rPr>
          <w:b/>
          <w:sz w:val="28"/>
          <w:szCs w:val="28"/>
          <w:lang w:val="uk-UA"/>
        </w:rPr>
        <w:lastRenderedPageBreak/>
        <w:t>Мета:</w:t>
      </w:r>
      <w:r>
        <w:rPr>
          <w:sz w:val="28"/>
          <w:szCs w:val="28"/>
          <w:lang w:val="uk-UA"/>
        </w:rPr>
        <w:t xml:space="preserve"> надати знання про ВІЛ, СНІД, шляхи передачі і способи захисту.</w:t>
      </w:r>
    </w:p>
    <w:p w:rsidR="004414D8" w:rsidRDefault="0044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 </w:t>
      </w:r>
      <w:proofErr w:type="spellStart"/>
      <w:r>
        <w:rPr>
          <w:b/>
          <w:sz w:val="28"/>
          <w:szCs w:val="28"/>
          <w:lang w:val="uk-UA"/>
        </w:rPr>
        <w:t>тренінгового</w:t>
      </w:r>
      <w:proofErr w:type="spellEnd"/>
      <w:r>
        <w:rPr>
          <w:b/>
          <w:sz w:val="28"/>
          <w:szCs w:val="28"/>
          <w:lang w:val="uk-UA"/>
        </w:rPr>
        <w:t xml:space="preserve"> заняття</w:t>
      </w:r>
    </w:p>
    <w:p w:rsidR="004414D8" w:rsidRDefault="00D434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Привітання</w:t>
      </w:r>
    </w:p>
    <w:p w:rsidR="004414D8" w:rsidRDefault="00D434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414D8">
        <w:rPr>
          <w:b/>
          <w:sz w:val="28"/>
          <w:szCs w:val="28"/>
          <w:lang w:val="uk-UA"/>
        </w:rPr>
        <w:t>. Правила</w:t>
      </w:r>
    </w:p>
    <w:p w:rsidR="004414D8" w:rsidRDefault="00D434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414D8">
        <w:rPr>
          <w:b/>
          <w:sz w:val="28"/>
          <w:szCs w:val="28"/>
          <w:lang w:val="uk-UA"/>
        </w:rPr>
        <w:t>. Вступ</w:t>
      </w:r>
    </w:p>
    <w:p w:rsidR="004414D8" w:rsidRDefault="004414D8">
      <w:pPr>
        <w:rPr>
          <w:sz w:val="28"/>
          <w:szCs w:val="28"/>
          <w:lang w:val="uk-UA"/>
        </w:rPr>
      </w:pPr>
      <w:r w:rsidRPr="004414D8">
        <w:rPr>
          <w:sz w:val="28"/>
          <w:szCs w:val="28"/>
          <w:lang w:val="uk-UA"/>
        </w:rPr>
        <w:t xml:space="preserve">Сьогодні </w:t>
      </w:r>
      <w:r w:rsidR="00695DAB">
        <w:rPr>
          <w:sz w:val="28"/>
          <w:szCs w:val="28"/>
          <w:lang w:val="uk-UA"/>
        </w:rPr>
        <w:t xml:space="preserve">ми з </w:t>
      </w:r>
      <w:r w:rsidRPr="004414D8">
        <w:rPr>
          <w:sz w:val="28"/>
          <w:szCs w:val="28"/>
          <w:lang w:val="uk-UA"/>
        </w:rPr>
        <w:t>вами будемо вести розмову про таку небезпечну</w:t>
      </w:r>
      <w:r>
        <w:rPr>
          <w:sz w:val="28"/>
          <w:szCs w:val="28"/>
          <w:lang w:val="uk-UA"/>
        </w:rPr>
        <w:t xml:space="preserve"> інфекцію, яка забрала життя мільйонів людей в усьому світі. Мова піде про </w:t>
      </w:r>
      <w:proofErr w:type="spellStart"/>
      <w:r>
        <w:rPr>
          <w:sz w:val="28"/>
          <w:szCs w:val="28"/>
          <w:lang w:val="uk-UA"/>
        </w:rPr>
        <w:t>ВІЛ-</w:t>
      </w:r>
      <w:proofErr w:type="spellEnd"/>
      <w:r>
        <w:rPr>
          <w:sz w:val="28"/>
          <w:szCs w:val="28"/>
          <w:lang w:val="uk-UA"/>
        </w:rPr>
        <w:t xml:space="preserve"> інфекцію.</w:t>
      </w:r>
    </w:p>
    <w:p w:rsidR="004414D8" w:rsidRDefault="004414D8" w:rsidP="004414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чули про ВІЛ, про СНІД?</w:t>
      </w:r>
    </w:p>
    <w:p w:rsidR="004414D8" w:rsidRDefault="004414D8" w:rsidP="004414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про це знаєте?</w:t>
      </w:r>
    </w:p>
    <w:p w:rsidR="004414D8" w:rsidRDefault="00D434B7" w:rsidP="0044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414D8" w:rsidRPr="004414D8">
        <w:rPr>
          <w:b/>
          <w:sz w:val="28"/>
          <w:szCs w:val="28"/>
          <w:lang w:val="uk-UA"/>
        </w:rPr>
        <w:t xml:space="preserve">. </w:t>
      </w:r>
      <w:r w:rsidR="004414D8">
        <w:rPr>
          <w:b/>
          <w:sz w:val="28"/>
          <w:szCs w:val="28"/>
          <w:lang w:val="uk-UA"/>
        </w:rPr>
        <w:t>Очікування</w:t>
      </w:r>
    </w:p>
    <w:p w:rsidR="004414D8" w:rsidRDefault="00D434B7" w:rsidP="0044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414D8">
        <w:rPr>
          <w:b/>
          <w:sz w:val="28"/>
          <w:szCs w:val="28"/>
          <w:lang w:val="uk-UA"/>
        </w:rPr>
        <w:t>. Вправа «Знайдемо і запам’ятаємо»</w:t>
      </w:r>
    </w:p>
    <w:p w:rsidR="004414D8" w:rsidRDefault="004414D8" w:rsidP="0044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1.</w:t>
      </w:r>
    </w:p>
    <w:p w:rsidR="006E4E0A" w:rsidRDefault="006E4E0A" w:rsidP="006E4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414D8">
        <w:rPr>
          <w:sz w:val="28"/>
          <w:szCs w:val="28"/>
          <w:lang w:val="uk-UA"/>
        </w:rPr>
        <w:t>Перші</w:t>
      </w:r>
      <w:r w:rsidR="00332B02">
        <w:rPr>
          <w:sz w:val="28"/>
          <w:szCs w:val="28"/>
          <w:lang w:val="uk-UA"/>
        </w:rPr>
        <w:t xml:space="preserve"> випадки захворювання на СНІД були виявлені у</w:t>
      </w:r>
      <w:r w:rsidR="00695DAB">
        <w:rPr>
          <w:sz w:val="28"/>
          <w:szCs w:val="28"/>
          <w:lang w:val="uk-UA"/>
        </w:rPr>
        <w:t xml:space="preserve"> 1981 році, а через два роки було віднайдено вірус, який викликає це захворювання. Вірус існує тільки в організмі людини і тому називається </w:t>
      </w:r>
      <w:r w:rsidR="00695DAB" w:rsidRPr="006E4E0A">
        <w:rPr>
          <w:sz w:val="28"/>
          <w:szCs w:val="28"/>
          <w:lang w:val="uk-UA"/>
        </w:rPr>
        <w:t>–</w:t>
      </w:r>
      <w:r w:rsidR="00695DAB" w:rsidRPr="006E4E0A">
        <w:rPr>
          <w:b/>
          <w:sz w:val="28"/>
          <w:szCs w:val="28"/>
          <w:lang w:val="uk-UA"/>
        </w:rPr>
        <w:t xml:space="preserve"> вірус імунодефіциту людини</w:t>
      </w:r>
      <w:r w:rsidRPr="006E4E0A">
        <w:rPr>
          <w:b/>
          <w:sz w:val="28"/>
          <w:szCs w:val="28"/>
          <w:lang w:val="uk-UA"/>
        </w:rPr>
        <w:t>.</w:t>
      </w:r>
      <w:r w:rsidR="00332B02" w:rsidRPr="006E4E0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 вірус поступово знешкоджує захисну (імунну) систему організму. Ви знаєте, що таке захисна (імунна) система? Це такі клітини у нашому організмі, які знешкоджують будь-яку інфекцію у разі, коли вірус імунодефіциту розмножується у великій кількості, він з</w:t>
      </w:r>
      <w:r w:rsidR="00903936">
        <w:rPr>
          <w:sz w:val="28"/>
          <w:szCs w:val="28"/>
          <w:lang w:val="uk-UA"/>
        </w:rPr>
        <w:t>нешкоджує клітини-захис</w:t>
      </w:r>
      <w:r>
        <w:rPr>
          <w:sz w:val="28"/>
          <w:szCs w:val="28"/>
          <w:lang w:val="uk-UA"/>
        </w:rPr>
        <w:t xml:space="preserve">ники і організм людини не спроможний вести боротьбу з різними інфекціями, які йому загрожують. Людина хворіє на СНІД – у неї розвивається </w:t>
      </w:r>
      <w:r w:rsidRPr="006E4E0A">
        <w:rPr>
          <w:b/>
          <w:sz w:val="28"/>
          <w:szCs w:val="28"/>
          <w:lang w:val="uk-UA"/>
        </w:rPr>
        <w:t>синдром набутого імунного дефіциту</w:t>
      </w:r>
      <w:r>
        <w:rPr>
          <w:b/>
          <w:sz w:val="28"/>
          <w:szCs w:val="28"/>
          <w:lang w:val="uk-UA"/>
        </w:rPr>
        <w:t xml:space="preserve">. </w:t>
      </w:r>
      <w:r w:rsidR="009A06E5">
        <w:rPr>
          <w:sz w:val="28"/>
          <w:szCs w:val="28"/>
          <w:lang w:val="uk-UA"/>
        </w:rPr>
        <w:t>Давайте ще раз повторимо: ВІЛ</w:t>
      </w:r>
      <w:r>
        <w:rPr>
          <w:sz w:val="28"/>
          <w:szCs w:val="28"/>
          <w:lang w:val="uk-UA"/>
        </w:rPr>
        <w:t xml:space="preserve"> – це вірус імунодефіциту людини, СНІД – це хвороба – синдром набутого імунного дефіциту.</w:t>
      </w:r>
    </w:p>
    <w:p w:rsidR="006E4E0A" w:rsidRDefault="006E4E0A" w:rsidP="006E4E0A">
      <w:pPr>
        <w:jc w:val="both"/>
        <w:rPr>
          <w:b/>
          <w:sz w:val="28"/>
          <w:szCs w:val="28"/>
          <w:lang w:val="uk-UA"/>
        </w:rPr>
      </w:pPr>
      <w:r w:rsidRPr="006E4E0A">
        <w:rPr>
          <w:b/>
          <w:sz w:val="28"/>
          <w:szCs w:val="28"/>
          <w:lang w:val="uk-UA"/>
        </w:rPr>
        <w:t>Частина 2.</w:t>
      </w:r>
    </w:p>
    <w:p w:rsidR="006E4E0A" w:rsidRDefault="006E4E0A" w:rsidP="006E4E0A">
      <w:pPr>
        <w:jc w:val="both"/>
        <w:rPr>
          <w:sz w:val="28"/>
          <w:szCs w:val="28"/>
          <w:lang w:val="uk-UA"/>
        </w:rPr>
      </w:pPr>
      <w:r w:rsidRPr="006E4E0A">
        <w:rPr>
          <w:sz w:val="28"/>
          <w:szCs w:val="28"/>
          <w:lang w:val="uk-UA"/>
        </w:rPr>
        <w:t xml:space="preserve">    А тепер </w:t>
      </w:r>
      <w:r>
        <w:rPr>
          <w:sz w:val="28"/>
          <w:szCs w:val="28"/>
          <w:lang w:val="uk-UA"/>
        </w:rPr>
        <w:t>давайте об’єднаємося у дві групи. Кожна група отримує однаковий набір карток. На картках написано «ВІ</w:t>
      </w:r>
      <w:r w:rsidR="005C44A2">
        <w:rPr>
          <w:sz w:val="28"/>
          <w:szCs w:val="28"/>
          <w:lang w:val="uk-UA"/>
        </w:rPr>
        <w:t>Л», «СНІД», а також розшифровка літер «ВІЛ», «СНІД». В наборах є також картки з інформацією, яка не відноситься до теми. Завдання для груп – із всіх отриманих карток вибрати ті, які розшифровують поняття ВІЛ, СНІД.</w:t>
      </w:r>
    </w:p>
    <w:p w:rsidR="005C44A2" w:rsidRPr="00903936" w:rsidRDefault="00661E59" w:rsidP="006E4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5C44A2">
        <w:rPr>
          <w:sz w:val="28"/>
          <w:szCs w:val="28"/>
          <w:lang w:val="uk-UA"/>
        </w:rPr>
        <w:t>На виконання завдання надається 7 хвилин.</w:t>
      </w:r>
      <w:r w:rsidR="00903936" w:rsidRPr="00903936">
        <w:rPr>
          <w:noProof/>
          <w:lang w:eastAsia="ru-RU"/>
        </w:rPr>
        <w:t xml:space="preserve"> </w:t>
      </w:r>
      <w:r w:rsidR="00903936" w:rsidRPr="009039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971550"/>
            <wp:positionH relativeFrom="margin">
              <wp:align>right</wp:align>
            </wp:positionH>
            <wp:positionV relativeFrom="margin">
              <wp:align>top</wp:align>
            </wp:positionV>
            <wp:extent cx="3448050" cy="2466975"/>
            <wp:effectExtent l="19050" t="0" r="0" b="0"/>
            <wp:wrapSquare wrapText="bothSides"/>
            <wp:docPr id="3" name="Рисунок 3" descr="F:\DCIM\100OLYMP\P1010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F:\DCIM\100OLYMP\P1010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44A2" w:rsidRDefault="00661E59" w:rsidP="006E4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C44A2">
        <w:rPr>
          <w:sz w:val="28"/>
          <w:szCs w:val="28"/>
          <w:lang w:val="uk-UA"/>
        </w:rPr>
        <w:t>Отже, групи виконали завдання і зараз кожна група презентує сво</w:t>
      </w:r>
      <w:r>
        <w:rPr>
          <w:sz w:val="28"/>
          <w:szCs w:val="28"/>
          <w:lang w:val="uk-UA"/>
        </w:rPr>
        <w:t>ї відповіді. В ході презентації ми будемо виправляти помилки, обговорюючи з усіма учасниками, що зроблено невірно і чому.</w:t>
      </w:r>
    </w:p>
    <w:p w:rsidR="00661E59" w:rsidRDefault="00D434B7" w:rsidP="006E4E0A">
      <w:pPr>
        <w:jc w:val="both"/>
        <w:rPr>
          <w:b/>
          <w:sz w:val="28"/>
          <w:szCs w:val="28"/>
          <w:lang w:val="uk-UA"/>
        </w:rPr>
      </w:pPr>
      <w:r w:rsidRPr="00D434B7">
        <w:rPr>
          <w:b/>
          <w:sz w:val="28"/>
          <w:szCs w:val="28"/>
        </w:rPr>
        <w:t>6</w:t>
      </w:r>
      <w:r w:rsidR="00661E59">
        <w:rPr>
          <w:b/>
          <w:sz w:val="28"/>
          <w:szCs w:val="28"/>
          <w:lang w:val="uk-UA"/>
        </w:rPr>
        <w:t>. І</w:t>
      </w:r>
      <w:r w:rsidR="00661E59" w:rsidRPr="00661E59">
        <w:rPr>
          <w:b/>
          <w:sz w:val="28"/>
          <w:szCs w:val="28"/>
          <w:lang w:val="uk-UA"/>
        </w:rPr>
        <w:t>нформаційне повідомлення: «Яким чином передається ВІЛ»</w:t>
      </w:r>
    </w:p>
    <w:p w:rsidR="00661E59" w:rsidRDefault="00661E59" w:rsidP="00661E5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знає, як передається ВІЛ?</w:t>
      </w:r>
    </w:p>
    <w:p w:rsidR="00661E59" w:rsidRDefault="00661E59" w:rsidP="00661E5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(Потрібно завчасно підготувати три таблички з написами: кров, статевий шлях, від матері до дитини. У разі вірної відповіді продемонструвати по черзі ці таблички. Потім вивісити ці таблички і зробити стислий висновок).</w:t>
      </w:r>
    </w:p>
    <w:p w:rsidR="00661E59" w:rsidRDefault="00661E59" w:rsidP="00661E59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661E59">
        <w:rPr>
          <w:b/>
          <w:sz w:val="28"/>
          <w:szCs w:val="28"/>
          <w:lang w:val="uk-UA"/>
        </w:rPr>
        <w:t>Висновок:</w:t>
      </w:r>
    </w:p>
    <w:p w:rsidR="00661E59" w:rsidRDefault="00661E59" w:rsidP="00661E5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Ми з вами дізналися, що вірус імунного дефіциту людини може передатися через кров людини, тобто тоді, коли цілісність шкіри порушується гострим предметом (голкою, бритвою, або інструментом для </w:t>
      </w:r>
      <w:proofErr w:type="spellStart"/>
      <w:r>
        <w:rPr>
          <w:sz w:val="28"/>
          <w:szCs w:val="28"/>
          <w:lang w:val="uk-UA"/>
        </w:rPr>
        <w:t>пірсингу</w:t>
      </w:r>
      <w:proofErr w:type="spellEnd"/>
      <w:r>
        <w:rPr>
          <w:sz w:val="28"/>
          <w:szCs w:val="28"/>
          <w:lang w:val="uk-UA"/>
        </w:rPr>
        <w:t>, татуювання тощо), яким користувалася інфікована людина, а також у разі переливання крові, що містить ВІЛ.</w:t>
      </w:r>
      <w:r w:rsidR="002B7983">
        <w:rPr>
          <w:sz w:val="28"/>
          <w:szCs w:val="28"/>
          <w:lang w:val="uk-UA"/>
        </w:rPr>
        <w:t xml:space="preserve"> Також вірус може передатися під час статевого контакту з ВІЛ-інфікованою людиною (інтимні стосунки між чоловіком і жінкою) та від інфікованої матері під час вагітності і пологів або через іі молоко під час годування дитини.</w:t>
      </w:r>
    </w:p>
    <w:p w:rsidR="002B7983" w:rsidRDefault="00D434B7" w:rsidP="00661E59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D434B7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>. В</w:t>
      </w:r>
      <w:r w:rsidR="002B7983" w:rsidRPr="002B7983">
        <w:rPr>
          <w:b/>
          <w:sz w:val="28"/>
          <w:szCs w:val="28"/>
          <w:lang w:val="uk-UA"/>
        </w:rPr>
        <w:t>права «Анкета»</w:t>
      </w:r>
      <w:r w:rsidR="00903936" w:rsidRPr="00903936">
        <w:rPr>
          <w:noProof/>
          <w:lang w:eastAsia="ru-RU"/>
        </w:rPr>
        <w:t xml:space="preserve"> </w:t>
      </w:r>
      <w:r w:rsidR="00903936" w:rsidRPr="0090393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71850" cy="2609850"/>
            <wp:effectExtent l="19050" t="0" r="0" b="0"/>
            <wp:docPr id="2" name="Рисунок 2" descr="F:\DCIM\100OLYMP\P1010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DCIM\100OLYMP\P1010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28" cy="2614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7983" w:rsidRDefault="002B7983" w:rsidP="00661E5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Кожному учаснику я даю анкету та пропоную її індивідуально заповнити, позначаючи свої відповіді у графі «ТАК» чи «НІ».</w:t>
      </w:r>
    </w:p>
    <w:p w:rsidR="002B7983" w:rsidRDefault="002B7983" w:rsidP="00661E5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завдання – 5 хвилин.</w:t>
      </w:r>
    </w:p>
    <w:p w:rsidR="002B7983" w:rsidRDefault="002B7983" w:rsidP="00661E5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 зараз я пропоную комусь з учасників прочитати свої відповіді. (Якщо бажаючих не виявилось, то педагог сам послідовно зачитує вірні твердження та рекомендує учасникам порівняти їх зі своїми. Якщо у когось з учасників виникли запитання, необхідно зупинитись та обговорити їх).</w:t>
      </w:r>
    </w:p>
    <w:tbl>
      <w:tblPr>
        <w:tblStyle w:val="a4"/>
        <w:tblW w:w="0" w:type="auto"/>
        <w:tblLook w:val="04A0"/>
      </w:tblPr>
      <w:tblGrid>
        <w:gridCol w:w="6912"/>
        <w:gridCol w:w="1335"/>
        <w:gridCol w:w="1324"/>
      </w:tblGrid>
      <w:tr w:rsidR="00232026" w:rsidTr="00232026">
        <w:trPr>
          <w:trHeight w:val="405"/>
        </w:trPr>
        <w:tc>
          <w:tcPr>
            <w:tcW w:w="6912" w:type="dxa"/>
            <w:vMerge w:val="restart"/>
          </w:tcPr>
          <w:p w:rsidR="00232026" w:rsidRDefault="00232026" w:rsidP="00232026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32026" w:rsidRPr="00232026" w:rsidRDefault="00232026" w:rsidP="00232026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232026">
              <w:rPr>
                <w:b/>
                <w:sz w:val="28"/>
                <w:szCs w:val="28"/>
                <w:lang w:val="uk-UA"/>
              </w:rPr>
              <w:t>Вірус імунодефіциту людини передається через:</w:t>
            </w:r>
          </w:p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gridSpan w:val="2"/>
          </w:tcPr>
          <w:p w:rsidR="00232026" w:rsidRPr="00232026" w:rsidRDefault="00232026" w:rsidP="00661E5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Pr="00232026">
              <w:rPr>
                <w:b/>
                <w:sz w:val="28"/>
                <w:szCs w:val="28"/>
                <w:lang w:val="uk-UA"/>
              </w:rPr>
              <w:t xml:space="preserve">Відповідь </w:t>
            </w:r>
          </w:p>
        </w:tc>
      </w:tr>
      <w:tr w:rsidR="00232026" w:rsidTr="00232026">
        <w:trPr>
          <w:trHeight w:val="300"/>
        </w:trPr>
        <w:tc>
          <w:tcPr>
            <w:tcW w:w="6912" w:type="dxa"/>
            <w:vMerge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232026" w:rsidRPr="00232026" w:rsidRDefault="00232026" w:rsidP="00661E5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32026">
              <w:rPr>
                <w:b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324" w:type="dxa"/>
          </w:tcPr>
          <w:p w:rsidR="00232026" w:rsidRPr="00232026" w:rsidRDefault="00232026" w:rsidP="00661E5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232026">
              <w:rPr>
                <w:b/>
                <w:sz w:val="28"/>
                <w:szCs w:val="28"/>
                <w:lang w:val="uk-UA"/>
              </w:rPr>
              <w:t xml:space="preserve">Ні </w:t>
            </w:r>
          </w:p>
          <w:p w:rsidR="00232026" w:rsidRPr="00232026" w:rsidRDefault="00232026" w:rsidP="00661E59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4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Укус комара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70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Спільне користування голками та шприцами для ін’єкцій 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6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Спільне з ВІЛ-інфікованими користування рушником</w:t>
            </w:r>
          </w:p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Сидіння за однією партою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20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Обійми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7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Плавання у басейні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4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Гроші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4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Посуд, їжу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7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Похід у кіно з ВІЛ-інфікованим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75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Туалети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390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Переливання крові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026" w:rsidTr="00232026">
        <w:trPr>
          <w:trHeight w:val="400"/>
        </w:trPr>
        <w:tc>
          <w:tcPr>
            <w:tcW w:w="6912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матері до дитини під час вагітності і пологів</w:t>
            </w:r>
          </w:p>
        </w:tc>
        <w:tc>
          <w:tcPr>
            <w:tcW w:w="1335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232026" w:rsidRDefault="00232026" w:rsidP="00661E5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7983" w:rsidRPr="002B7983" w:rsidRDefault="002B7983" w:rsidP="00661E59">
      <w:pPr>
        <w:pStyle w:val="a3"/>
        <w:ind w:left="0"/>
        <w:jc w:val="both"/>
        <w:rPr>
          <w:sz w:val="28"/>
          <w:szCs w:val="28"/>
          <w:lang w:val="uk-UA"/>
        </w:rPr>
      </w:pPr>
    </w:p>
    <w:p w:rsidR="00661E59" w:rsidRDefault="00232026" w:rsidP="006E4E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Висновок:</w:t>
      </w:r>
    </w:p>
    <w:p w:rsidR="00232026" w:rsidRDefault="009A06E5" w:rsidP="006E4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ВІЛ </w:t>
      </w:r>
      <w:r w:rsidR="00232026">
        <w:rPr>
          <w:sz w:val="28"/>
          <w:szCs w:val="28"/>
          <w:lang w:val="uk-UA"/>
        </w:rPr>
        <w:t>не передається побу</w:t>
      </w:r>
      <w:r>
        <w:rPr>
          <w:sz w:val="28"/>
          <w:szCs w:val="28"/>
          <w:lang w:val="uk-UA"/>
        </w:rPr>
        <w:t>товим шляхом (тобто через посуд</w:t>
      </w:r>
      <w:r w:rsidR="00232026">
        <w:rPr>
          <w:sz w:val="28"/>
          <w:szCs w:val="28"/>
          <w:lang w:val="uk-UA"/>
        </w:rPr>
        <w:t xml:space="preserve">, одяг), повітряно-крапельним шляхом (тобто через повітря), через комах та домашніх тварин. Але побутовим шляхом можуть передаватися інші інфекції, тому необхідно пам’ятати </w:t>
      </w:r>
      <w:r w:rsidR="0056505B">
        <w:rPr>
          <w:sz w:val="28"/>
          <w:szCs w:val="28"/>
          <w:lang w:val="uk-UA"/>
        </w:rPr>
        <w:t>про особисті правила гігієни.</w:t>
      </w:r>
    </w:p>
    <w:p w:rsidR="0056505B" w:rsidRPr="0056505B" w:rsidRDefault="0056505B" w:rsidP="006E4E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56505B">
        <w:rPr>
          <w:b/>
          <w:sz w:val="28"/>
          <w:szCs w:val="28"/>
          <w:lang w:val="uk-UA"/>
        </w:rPr>
        <w:t>. Інформаційне повідомлення «Способи захисту»</w:t>
      </w:r>
    </w:p>
    <w:p w:rsidR="006E4E0A" w:rsidRDefault="0056505B" w:rsidP="009A06E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потрібно робити, щоб захистити себе від ВІЛ?</w:t>
      </w:r>
    </w:p>
    <w:p w:rsidR="0056505B" w:rsidRDefault="0056505B" w:rsidP="009A06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(Проходить коротка дискусія, після якої педагог робить висновки, що для захисту від ВІЛ необхідно):</w:t>
      </w:r>
    </w:p>
    <w:p w:rsidR="0056505B" w:rsidRDefault="0056505B" w:rsidP="009A06E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Користуватися тільки своїми засобами особистої гігієни (зубною щіткою, ножицями, лезом, тощо).</w:t>
      </w:r>
    </w:p>
    <w:p w:rsidR="0056505B" w:rsidRDefault="0056505B" w:rsidP="009A06E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Робити проколи вуха, татуювання тільки у спеціалізованих закладах та лише одноразовими інструментами.</w:t>
      </w:r>
    </w:p>
    <w:p w:rsidR="0056505B" w:rsidRDefault="0056505B" w:rsidP="009A06E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Уколи робити тільки одноразовим шприцом.</w:t>
      </w:r>
    </w:p>
    <w:p w:rsidR="0056505B" w:rsidRDefault="0056505B" w:rsidP="009A06E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Утримуватись від статевих стосунків у підлітковому віці.</w:t>
      </w:r>
    </w:p>
    <w:p w:rsidR="0056505B" w:rsidRDefault="0056505B" w:rsidP="009A06E5">
      <w:pPr>
        <w:ind w:left="360"/>
        <w:jc w:val="both"/>
        <w:rPr>
          <w:b/>
          <w:sz w:val="28"/>
          <w:szCs w:val="28"/>
          <w:lang w:val="uk-UA"/>
        </w:rPr>
      </w:pPr>
      <w:r w:rsidRPr="0056505B">
        <w:rPr>
          <w:b/>
          <w:sz w:val="28"/>
          <w:szCs w:val="28"/>
          <w:lang w:val="uk-UA"/>
        </w:rPr>
        <w:t>9. Вправа «Наша абетка»</w:t>
      </w:r>
    </w:p>
    <w:p w:rsidR="0056505B" w:rsidRDefault="0056505B" w:rsidP="0056505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кожна з груп намалює плакат, який буде називатись «Наша абетка</w:t>
      </w:r>
      <w:r w:rsidR="00D434B7">
        <w:rPr>
          <w:sz w:val="28"/>
          <w:szCs w:val="28"/>
          <w:lang w:val="uk-UA"/>
        </w:rPr>
        <w:t xml:space="preserve"> безпеки</w:t>
      </w:r>
      <w:r>
        <w:rPr>
          <w:sz w:val="28"/>
          <w:szCs w:val="28"/>
          <w:lang w:val="uk-UA"/>
        </w:rPr>
        <w:t xml:space="preserve">». У плакаті потрібно намалювати і написати, як захистити себе від </w:t>
      </w:r>
      <w:r w:rsidR="00D434B7">
        <w:rPr>
          <w:sz w:val="28"/>
          <w:szCs w:val="28"/>
          <w:lang w:val="uk-UA"/>
        </w:rPr>
        <w:t xml:space="preserve">ВІЛ. </w:t>
      </w:r>
    </w:p>
    <w:p w:rsidR="00D434B7" w:rsidRDefault="00D434B7" w:rsidP="00D434B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Час виконання завдання – 15 хвилин.    </w:t>
      </w:r>
    </w:p>
    <w:p w:rsidR="00D434B7" w:rsidRDefault="00D434B7" w:rsidP="00D434B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презентації напрацювань – по 2 хвилини на кожну групу.</w:t>
      </w:r>
    </w:p>
    <w:p w:rsidR="00903936" w:rsidRDefault="00D434B7" w:rsidP="00D434B7">
      <w:pPr>
        <w:ind w:left="360"/>
        <w:rPr>
          <w:b/>
          <w:sz w:val="28"/>
          <w:szCs w:val="28"/>
          <w:lang w:val="uk-UA"/>
        </w:rPr>
      </w:pPr>
      <w:r w:rsidRPr="00D434B7">
        <w:rPr>
          <w:b/>
          <w:sz w:val="28"/>
          <w:szCs w:val="28"/>
          <w:lang w:val="uk-UA"/>
        </w:rPr>
        <w:t xml:space="preserve">10. Підсумок заняття.  </w:t>
      </w:r>
    </w:p>
    <w:p w:rsidR="00903936" w:rsidRDefault="00903936" w:rsidP="00D434B7">
      <w:pPr>
        <w:ind w:left="360"/>
        <w:rPr>
          <w:b/>
          <w:sz w:val="28"/>
          <w:szCs w:val="28"/>
          <w:lang w:val="uk-UA"/>
        </w:rPr>
      </w:pPr>
      <w:r w:rsidRPr="0090393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12103" cy="2359997"/>
            <wp:effectExtent l="0" t="323850" r="0" b="1221403"/>
            <wp:docPr id="1" name="Рисунок 1" descr="F:\DCIM\100OLYMP\P1010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F:\DCIM\100OLYMP\P1010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3616" cy="23611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434B7" w:rsidRPr="00D434B7" w:rsidRDefault="00D434B7" w:rsidP="00D434B7">
      <w:pPr>
        <w:ind w:left="360"/>
        <w:rPr>
          <w:sz w:val="28"/>
          <w:szCs w:val="28"/>
          <w:lang w:val="uk-UA"/>
        </w:rPr>
      </w:pPr>
      <w:r w:rsidRPr="00D434B7">
        <w:rPr>
          <w:b/>
          <w:sz w:val="28"/>
          <w:szCs w:val="28"/>
          <w:lang w:val="uk-UA"/>
        </w:rPr>
        <w:t xml:space="preserve">  </w:t>
      </w:r>
      <w:r w:rsidRPr="00D434B7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9A06E5" w:rsidRPr="009A06E5" w:rsidRDefault="009A06E5" w:rsidP="009A06E5">
      <w:pPr>
        <w:pStyle w:val="a3"/>
        <w:ind w:left="0"/>
        <w:jc w:val="both"/>
        <w:rPr>
          <w:lang w:val="uk-UA"/>
        </w:rPr>
      </w:pPr>
    </w:p>
    <w:sectPr w:rsidR="009A06E5" w:rsidRPr="009A06E5" w:rsidSect="00BE331E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EA" w:rsidRDefault="007622EA" w:rsidP="00D434B7">
      <w:pPr>
        <w:spacing w:after="0" w:line="240" w:lineRule="auto"/>
      </w:pPr>
      <w:r>
        <w:separator/>
      </w:r>
    </w:p>
  </w:endnote>
  <w:endnote w:type="continuationSeparator" w:id="0">
    <w:p w:rsidR="007622EA" w:rsidRDefault="007622EA" w:rsidP="00D4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5266"/>
      <w:docPartObj>
        <w:docPartGallery w:val="Page Numbers (Bottom of Page)"/>
        <w:docPartUnique/>
      </w:docPartObj>
    </w:sdtPr>
    <w:sdtContent>
      <w:p w:rsidR="00D434B7" w:rsidRDefault="008F077E">
        <w:pPr>
          <w:pStyle w:val="a7"/>
          <w:jc w:val="center"/>
        </w:pPr>
        <w:fldSimple w:instr=" PAGE   \* MERGEFORMAT ">
          <w:r w:rsidR="003C444C">
            <w:rPr>
              <w:noProof/>
            </w:rPr>
            <w:t>2</w:t>
          </w:r>
        </w:fldSimple>
      </w:p>
    </w:sdtContent>
  </w:sdt>
  <w:p w:rsidR="00D434B7" w:rsidRDefault="00D43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EA" w:rsidRDefault="007622EA" w:rsidP="00D434B7">
      <w:pPr>
        <w:spacing w:after="0" w:line="240" w:lineRule="auto"/>
      </w:pPr>
      <w:r>
        <w:separator/>
      </w:r>
    </w:p>
  </w:footnote>
  <w:footnote w:type="continuationSeparator" w:id="0">
    <w:p w:rsidR="007622EA" w:rsidRDefault="007622EA" w:rsidP="00D4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176C"/>
    <w:multiLevelType w:val="hybridMultilevel"/>
    <w:tmpl w:val="A96647F2"/>
    <w:lvl w:ilvl="0" w:tplc="B0E0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4D8"/>
    <w:rsid w:val="001E7C4A"/>
    <w:rsid w:val="00232026"/>
    <w:rsid w:val="002B7983"/>
    <w:rsid w:val="002E7C09"/>
    <w:rsid w:val="00332B02"/>
    <w:rsid w:val="00355680"/>
    <w:rsid w:val="003C444C"/>
    <w:rsid w:val="004414D8"/>
    <w:rsid w:val="0056505B"/>
    <w:rsid w:val="005C44A2"/>
    <w:rsid w:val="00661E59"/>
    <w:rsid w:val="00695DAB"/>
    <w:rsid w:val="006B472B"/>
    <w:rsid w:val="006E4E0A"/>
    <w:rsid w:val="007622EA"/>
    <w:rsid w:val="0080786F"/>
    <w:rsid w:val="008D1234"/>
    <w:rsid w:val="008F077E"/>
    <w:rsid w:val="00903936"/>
    <w:rsid w:val="009A06E5"/>
    <w:rsid w:val="00B7647F"/>
    <w:rsid w:val="00BE331E"/>
    <w:rsid w:val="00CA2B31"/>
    <w:rsid w:val="00D4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D8"/>
    <w:pPr>
      <w:ind w:left="720"/>
      <w:contextualSpacing/>
    </w:pPr>
  </w:style>
  <w:style w:type="table" w:styleId="a4">
    <w:name w:val="Table Grid"/>
    <w:basedOn w:val="a1"/>
    <w:uiPriority w:val="59"/>
    <w:rsid w:val="002B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4B7"/>
  </w:style>
  <w:style w:type="paragraph" w:styleId="a7">
    <w:name w:val="footer"/>
    <w:basedOn w:val="a"/>
    <w:link w:val="a8"/>
    <w:uiPriority w:val="99"/>
    <w:unhideWhenUsed/>
    <w:rsid w:val="00D4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4B7"/>
  </w:style>
  <w:style w:type="paragraph" w:styleId="a9">
    <w:name w:val="Balloon Text"/>
    <w:basedOn w:val="a"/>
    <w:link w:val="aa"/>
    <w:uiPriority w:val="99"/>
    <w:semiHidden/>
    <w:unhideWhenUsed/>
    <w:rsid w:val="0090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2015-01-28T09:05:00Z</dcterms:created>
  <dcterms:modified xsi:type="dcterms:W3CDTF">2015-03-15T10:11:00Z</dcterms:modified>
</cp:coreProperties>
</file>